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131CC5">
        <w:rPr>
          <w:rFonts w:ascii="Tahoma" w:hAnsi="Tahoma" w:cs="Tahoma"/>
          <w:b/>
          <w:sz w:val="20"/>
          <w:szCs w:val="20"/>
        </w:rPr>
        <w:t>ANESTESIA E RIANIMAZIONE</w:t>
      </w:r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</w:t>
    </w:r>
    <w:r w:rsidR="00846BCB">
      <w:rPr>
        <w:b/>
      </w:rPr>
      <w:t>TO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30A57"/>
    <w:rsid w:val="000862D0"/>
    <w:rsid w:val="00096242"/>
    <w:rsid w:val="000D78C6"/>
    <w:rsid w:val="00131CC5"/>
    <w:rsid w:val="0017105B"/>
    <w:rsid w:val="00187EB8"/>
    <w:rsid w:val="001C71C1"/>
    <w:rsid w:val="001F6AD9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46BCB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258C2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CE00C8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E347-5C2A-4D06-BF96-975D21E9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Sarti</dc:creator>
  <cp:lastModifiedBy>Cristina Chieruzzi</cp:lastModifiedBy>
  <cp:revision>8</cp:revision>
  <cp:lastPrinted>2015-02-04T09:17:00Z</cp:lastPrinted>
  <dcterms:created xsi:type="dcterms:W3CDTF">2017-01-04T10:04:00Z</dcterms:created>
  <dcterms:modified xsi:type="dcterms:W3CDTF">2021-01-22T11:17:00Z</dcterms:modified>
</cp:coreProperties>
</file>